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88" w:rsidRDefault="00FA2C88" w:rsidP="00FA2C88">
      <w:pPr>
        <w:jc w:val="center"/>
        <w:rPr>
          <w:b/>
          <w:u w:val="single"/>
        </w:rPr>
      </w:pPr>
      <w:r w:rsidRPr="00FA2C88">
        <w:rPr>
          <w:b/>
          <w:u w:val="single"/>
        </w:rPr>
        <w:t>Language and Knowledge Vocabulary</w:t>
      </w:r>
    </w:p>
    <w:p w:rsidR="00FA2C88" w:rsidRDefault="00FA2C88" w:rsidP="00FA2C88">
      <w:pPr>
        <w:jc w:val="center"/>
        <w:rPr>
          <w:b/>
          <w:u w:val="single"/>
        </w:rPr>
      </w:pPr>
    </w:p>
    <w:p w:rsidR="00FA2C88" w:rsidRDefault="00FA2C88" w:rsidP="00FA2C8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Break it down!</w:t>
      </w:r>
    </w:p>
    <w:p w:rsidR="00FA2C88" w:rsidRDefault="00FA2C88" w:rsidP="00FA2C88">
      <w:pPr>
        <w:rPr>
          <w:sz w:val="20"/>
        </w:rPr>
      </w:pPr>
      <w:r w:rsidRPr="00FA2C88">
        <w:rPr>
          <w:b/>
          <w:sz w:val="20"/>
        </w:rPr>
        <w:t>Syntax</w:t>
      </w:r>
      <w:r>
        <w:rPr>
          <w:sz w:val="20"/>
        </w:rPr>
        <w:t>- sentence structure</w:t>
      </w:r>
    </w:p>
    <w:p w:rsidR="00FA2C88" w:rsidRDefault="00FA2C88" w:rsidP="00FA2C88">
      <w:pPr>
        <w:rPr>
          <w:sz w:val="20"/>
        </w:rPr>
      </w:pPr>
      <w:r w:rsidRPr="00FA2C88">
        <w:rPr>
          <w:b/>
          <w:sz w:val="20"/>
        </w:rPr>
        <w:t>Modifier</w:t>
      </w:r>
      <w:r>
        <w:rPr>
          <w:sz w:val="20"/>
        </w:rPr>
        <w:t xml:space="preserve">- </w:t>
      </w:r>
      <w:r w:rsidRPr="00FA2C88">
        <w:rPr>
          <w:sz w:val="20"/>
        </w:rPr>
        <w:t>A word, phrase, or clause that qualifies or describes another word, phrase, or clause</w:t>
      </w:r>
      <w:r>
        <w:rPr>
          <w:sz w:val="20"/>
        </w:rPr>
        <w:t xml:space="preserve"> </w:t>
      </w:r>
    </w:p>
    <w:p w:rsidR="00FA2C88" w:rsidRPr="00FA2C88" w:rsidRDefault="00FA2C88" w:rsidP="00FA2C88">
      <w:pPr>
        <w:rPr>
          <w:sz w:val="20"/>
        </w:rPr>
      </w:pPr>
      <w:r w:rsidRPr="00FA2C88">
        <w:rPr>
          <w:b/>
          <w:sz w:val="20"/>
        </w:rPr>
        <w:t>Juxtaposition</w:t>
      </w:r>
      <w:r>
        <w:rPr>
          <w:sz w:val="20"/>
        </w:rPr>
        <w:t xml:space="preserve">- </w:t>
      </w:r>
      <w:r w:rsidRPr="00FA2C88">
        <w:rPr>
          <w:sz w:val="20"/>
        </w:rPr>
        <w:t>placement of two things side by side for emphasis (the qualities of each become more apparent because of their close proximity)</w:t>
      </w:r>
    </w:p>
    <w:p w:rsidR="00FA2C88" w:rsidRDefault="00FA2C88" w:rsidP="00FA2C88">
      <w:pPr>
        <w:rPr>
          <w:sz w:val="20"/>
        </w:rPr>
      </w:pPr>
      <w:r w:rsidRPr="00FA2C88">
        <w:rPr>
          <w:b/>
          <w:sz w:val="20"/>
        </w:rPr>
        <w:t>Inversion</w:t>
      </w:r>
      <w:r>
        <w:rPr>
          <w:sz w:val="20"/>
        </w:rPr>
        <w:t xml:space="preserve">- </w:t>
      </w:r>
      <w:r w:rsidRPr="00FA2C88">
        <w:rPr>
          <w:sz w:val="20"/>
        </w:rPr>
        <w:t>a sentence in which the verb precedes the subject</w:t>
      </w:r>
    </w:p>
    <w:p w:rsidR="00FA2C88" w:rsidRPr="00FA2C88" w:rsidRDefault="00FA2C88" w:rsidP="00FA2C88">
      <w:pPr>
        <w:rPr>
          <w:b/>
          <w:sz w:val="20"/>
        </w:rPr>
      </w:pPr>
      <w:r w:rsidRPr="00FA2C88">
        <w:rPr>
          <w:b/>
          <w:sz w:val="20"/>
        </w:rPr>
        <w:t>Imperative</w:t>
      </w:r>
    </w:p>
    <w:p w:rsidR="00FA2C88" w:rsidRPr="00FA2C88" w:rsidRDefault="00FA2C88" w:rsidP="00FA2C88">
      <w:pPr>
        <w:rPr>
          <w:b/>
          <w:sz w:val="20"/>
        </w:rPr>
      </w:pPr>
      <w:r w:rsidRPr="00FA2C88">
        <w:rPr>
          <w:b/>
          <w:sz w:val="20"/>
        </w:rPr>
        <w:t>Declarative</w:t>
      </w:r>
    </w:p>
    <w:p w:rsidR="00FA2C88" w:rsidRPr="00FA2C88" w:rsidRDefault="00FA2C88" w:rsidP="00FA2C88">
      <w:pPr>
        <w:rPr>
          <w:b/>
          <w:sz w:val="20"/>
        </w:rPr>
      </w:pPr>
      <w:r w:rsidRPr="00FA2C88">
        <w:rPr>
          <w:b/>
          <w:sz w:val="20"/>
        </w:rPr>
        <w:t>Interrogative</w:t>
      </w:r>
    </w:p>
    <w:p w:rsidR="00FA2C88" w:rsidRPr="00FA2C88" w:rsidRDefault="00FA2C88" w:rsidP="00FA2C88">
      <w:pPr>
        <w:rPr>
          <w:b/>
          <w:sz w:val="20"/>
        </w:rPr>
      </w:pPr>
      <w:r w:rsidRPr="00FA2C88">
        <w:rPr>
          <w:b/>
          <w:sz w:val="20"/>
        </w:rPr>
        <w:t>Exclamatory</w:t>
      </w:r>
    </w:p>
    <w:p w:rsidR="00FA2C88" w:rsidRPr="00FA2C88" w:rsidRDefault="00FA2C88" w:rsidP="00FA2C88">
      <w:pPr>
        <w:rPr>
          <w:b/>
          <w:sz w:val="20"/>
        </w:rPr>
      </w:pPr>
      <w:r w:rsidRPr="00FA2C88">
        <w:rPr>
          <w:b/>
          <w:sz w:val="20"/>
        </w:rPr>
        <w:t>Appositive</w:t>
      </w:r>
      <w:r w:rsidRPr="00FA2C88">
        <w:rPr>
          <w:sz w:val="20"/>
        </w:rPr>
        <w:t>- A word or phrase that renames a nearby noun or pronoun</w:t>
      </w:r>
    </w:p>
    <w:p w:rsidR="00FA2C88" w:rsidRPr="00FA2C88" w:rsidRDefault="00FA2C88" w:rsidP="00FA2C88">
      <w:pPr>
        <w:rPr>
          <w:b/>
          <w:sz w:val="20"/>
        </w:rPr>
      </w:pPr>
      <w:r w:rsidRPr="00FA2C88">
        <w:rPr>
          <w:b/>
          <w:sz w:val="20"/>
        </w:rPr>
        <w:t>Antecedent</w:t>
      </w:r>
      <w:r>
        <w:rPr>
          <w:b/>
          <w:sz w:val="20"/>
        </w:rPr>
        <w:t xml:space="preserve">- </w:t>
      </w:r>
      <w:r w:rsidRPr="00FA2C88">
        <w:rPr>
          <w:sz w:val="20"/>
        </w:rPr>
        <w:t>The noun to which a later pronoun refers</w:t>
      </w:r>
    </w:p>
    <w:p w:rsidR="00FA2C88" w:rsidRPr="00FA2C88" w:rsidRDefault="00FA2C88" w:rsidP="00FA2C88">
      <w:pPr>
        <w:rPr>
          <w:b/>
          <w:sz w:val="20"/>
        </w:rPr>
      </w:pPr>
    </w:p>
    <w:p w:rsidR="00FA2C88" w:rsidRDefault="00FA2C88" w:rsidP="00FA2C88">
      <w:pPr>
        <w:rPr>
          <w:b/>
          <w:sz w:val="20"/>
          <w:u w:val="single"/>
        </w:rPr>
      </w:pPr>
    </w:p>
    <w:p w:rsidR="00FA2C88" w:rsidRDefault="00FA2C88" w:rsidP="00FA2C8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Devices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 xml:space="preserve">Voice- consider both definitions (active </w:t>
      </w:r>
      <w:proofErr w:type="spellStart"/>
      <w:r>
        <w:rPr>
          <w:sz w:val="20"/>
        </w:rPr>
        <w:t>vs</w:t>
      </w:r>
      <w:proofErr w:type="spellEnd"/>
      <w:r>
        <w:rPr>
          <w:sz w:val="20"/>
        </w:rPr>
        <w:t xml:space="preserve"> passive</w:t>
      </w:r>
      <w:r w:rsidR="00732665">
        <w:rPr>
          <w:sz w:val="20"/>
        </w:rPr>
        <w:t xml:space="preserve"> AND tone +diction)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Understatement</w:t>
      </w:r>
      <w:r w:rsidR="00732665">
        <w:rPr>
          <w:sz w:val="20"/>
        </w:rPr>
        <w:t xml:space="preserve">- </w:t>
      </w:r>
      <w:r w:rsidR="00732665" w:rsidRPr="00732665">
        <w:rPr>
          <w:sz w:val="20"/>
        </w:rPr>
        <w:t>Lack of emphasis in a statement or point; restraint in language often used for ironic effect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Trope</w:t>
      </w:r>
      <w:r w:rsidR="00732665">
        <w:rPr>
          <w:sz w:val="20"/>
        </w:rPr>
        <w:t>- artful diction; not to be taken literally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 xml:space="preserve">Pacing </w:t>
      </w:r>
      <w:r w:rsidR="00732665">
        <w:rPr>
          <w:sz w:val="20"/>
        </w:rPr>
        <w:t>-</w:t>
      </w:r>
      <w:r w:rsidR="00732665" w:rsidRPr="00732665">
        <w:rPr>
          <w:sz w:val="20"/>
        </w:rPr>
        <w:t>The relative speed or slowness with which a story is told or an idea is presented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Metonymy</w:t>
      </w:r>
      <w:r w:rsidR="00732665">
        <w:rPr>
          <w:sz w:val="20"/>
        </w:rPr>
        <w:t>- when something closely related stands in for the original idea or thing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Synecdoche</w:t>
      </w:r>
      <w:r w:rsidR="00732665">
        <w:rPr>
          <w:sz w:val="20"/>
        </w:rPr>
        <w:t>- when part represents the whole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Aphorism</w:t>
      </w:r>
      <w:r w:rsidR="00732665">
        <w:rPr>
          <w:sz w:val="20"/>
        </w:rPr>
        <w:t>- a short, astute statement of general truth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Archetype</w:t>
      </w:r>
      <w:r w:rsidR="00732665">
        <w:rPr>
          <w:sz w:val="20"/>
        </w:rPr>
        <w:t>- a collectively inherited idea pattern, image, character that reoccurs in literature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Metaphor</w:t>
      </w:r>
      <w:r w:rsidR="00732665">
        <w:rPr>
          <w:sz w:val="20"/>
        </w:rPr>
        <w:t xml:space="preserve">- 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Stock character</w:t>
      </w:r>
      <w:r w:rsidR="00732665">
        <w:rPr>
          <w:sz w:val="20"/>
        </w:rPr>
        <w:t>- a stereotypical character that reoccurs in works and is characterized by being a flat figure in the work</w:t>
      </w:r>
    </w:p>
    <w:p w:rsidR="00FA2C88" w:rsidRPr="00FA2C88" w:rsidRDefault="00FA2C88" w:rsidP="00FA2C88">
      <w:pPr>
        <w:rPr>
          <w:sz w:val="20"/>
        </w:rPr>
      </w:pPr>
      <w:r>
        <w:rPr>
          <w:sz w:val="20"/>
        </w:rPr>
        <w:t>Mood</w:t>
      </w:r>
    </w:p>
    <w:p w:rsidR="00FA2C88" w:rsidRDefault="00FA2C88" w:rsidP="00FA2C88">
      <w:pPr>
        <w:rPr>
          <w:b/>
          <w:sz w:val="20"/>
          <w:u w:val="single"/>
        </w:rPr>
      </w:pPr>
    </w:p>
    <w:p w:rsidR="00FA2C88" w:rsidRDefault="00FA2C88" w:rsidP="00FA2C88">
      <w:pPr>
        <w:rPr>
          <w:b/>
          <w:sz w:val="20"/>
          <w:u w:val="single"/>
        </w:rPr>
      </w:pPr>
    </w:p>
    <w:p w:rsidR="00FA2C88" w:rsidRDefault="00FA2C88" w:rsidP="00FA2C88">
      <w:pPr>
        <w:rPr>
          <w:b/>
          <w:sz w:val="20"/>
          <w:u w:val="single"/>
        </w:rPr>
      </w:pPr>
      <w:proofErr w:type="spellStart"/>
      <w:r>
        <w:rPr>
          <w:b/>
          <w:sz w:val="20"/>
          <w:u w:val="single"/>
        </w:rPr>
        <w:t>SOAPSTone</w:t>
      </w:r>
      <w:proofErr w:type="spellEnd"/>
      <w:r>
        <w:rPr>
          <w:b/>
          <w:sz w:val="20"/>
          <w:u w:val="single"/>
        </w:rPr>
        <w:t xml:space="preserve"> (thinking about the relationship)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Rhetorical Triangle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Tone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Code-switching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Bias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Red herring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Logical fallacy</w:t>
      </w:r>
    </w:p>
    <w:p w:rsidR="00FA2C88" w:rsidRDefault="00FA2C88" w:rsidP="00FA2C8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Hasty generalizations</w:t>
      </w:r>
    </w:p>
    <w:p w:rsidR="00FA2C88" w:rsidRDefault="00FA2C88" w:rsidP="00FA2C88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Strawman</w:t>
      </w:r>
      <w:proofErr w:type="spellEnd"/>
    </w:p>
    <w:p w:rsidR="00FA2C88" w:rsidRDefault="00FA2C88" w:rsidP="00FA2C88">
      <w:pPr>
        <w:rPr>
          <w:sz w:val="20"/>
        </w:rPr>
      </w:pPr>
      <w:r>
        <w:rPr>
          <w:sz w:val="20"/>
        </w:rPr>
        <w:t>Bandwagon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Rationale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Pidgin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Platonic form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Concession</w:t>
      </w:r>
    </w:p>
    <w:p w:rsidR="00FA2C88" w:rsidRPr="00FA2C88" w:rsidRDefault="00FA2C88" w:rsidP="00FA2C88">
      <w:pPr>
        <w:rPr>
          <w:sz w:val="20"/>
        </w:rPr>
      </w:pPr>
      <w:r>
        <w:rPr>
          <w:sz w:val="20"/>
        </w:rPr>
        <w:t>Common ground</w:t>
      </w:r>
    </w:p>
    <w:p w:rsidR="00FA2C88" w:rsidRDefault="00FA2C88" w:rsidP="00FA2C88">
      <w:pPr>
        <w:rPr>
          <w:b/>
          <w:sz w:val="20"/>
          <w:u w:val="single"/>
        </w:rPr>
      </w:pPr>
    </w:p>
    <w:p w:rsidR="00FA2C88" w:rsidRDefault="00FA2C88" w:rsidP="00FA2C8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Caring about connotation</w:t>
      </w:r>
    </w:p>
    <w:p w:rsidR="008C3735" w:rsidRDefault="008C3735" w:rsidP="00FA2C88">
      <w:pPr>
        <w:rPr>
          <w:sz w:val="20"/>
        </w:rPr>
      </w:pPr>
    </w:p>
    <w:p w:rsidR="00732665" w:rsidRDefault="00732665" w:rsidP="00FA2C88">
      <w:pPr>
        <w:rPr>
          <w:sz w:val="20"/>
        </w:rPr>
        <w:sectPr w:rsidR="00732665">
          <w:pgSz w:w="12240" w:h="15840"/>
          <w:pgMar w:top="1080" w:right="1080" w:bottom="1080" w:left="1080" w:gutter="0"/>
          <w:titlePg/>
        </w:sectPr>
      </w:pPr>
    </w:p>
    <w:p w:rsidR="00FA2C88" w:rsidRDefault="00FA2C88" w:rsidP="00FA2C88">
      <w:pPr>
        <w:rPr>
          <w:sz w:val="20"/>
        </w:rPr>
      </w:pPr>
      <w:r>
        <w:rPr>
          <w:sz w:val="20"/>
        </w:rPr>
        <w:t>Belief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Fact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Opinion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Truth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Concept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Rule</w:t>
      </w:r>
    </w:p>
    <w:p w:rsidR="00FA2C88" w:rsidRDefault="00FA2C88" w:rsidP="00FA2C88">
      <w:pPr>
        <w:rPr>
          <w:sz w:val="20"/>
        </w:rPr>
      </w:pPr>
      <w:r>
        <w:rPr>
          <w:sz w:val="20"/>
        </w:rPr>
        <w:t>Ideal</w:t>
      </w:r>
    </w:p>
    <w:p w:rsidR="008C3735" w:rsidRDefault="008C3735" w:rsidP="00FA2C88">
      <w:pPr>
        <w:rPr>
          <w:sz w:val="20"/>
        </w:rPr>
      </w:pPr>
    </w:p>
    <w:p w:rsidR="00FA2C88" w:rsidRDefault="00FA2C88" w:rsidP="00FA2C88">
      <w:pPr>
        <w:rPr>
          <w:sz w:val="20"/>
        </w:rPr>
      </w:pPr>
      <w:r>
        <w:rPr>
          <w:sz w:val="20"/>
        </w:rPr>
        <w:t>Model</w:t>
      </w:r>
    </w:p>
    <w:p w:rsidR="00732665" w:rsidRDefault="00732665" w:rsidP="00732665">
      <w:pPr>
        <w:rPr>
          <w:sz w:val="20"/>
        </w:rPr>
      </w:pPr>
      <w:r>
        <w:rPr>
          <w:sz w:val="20"/>
        </w:rPr>
        <w:t>Stereotype</w:t>
      </w:r>
    </w:p>
    <w:p w:rsidR="008C3735" w:rsidRDefault="008C3735" w:rsidP="008C3735">
      <w:pPr>
        <w:rPr>
          <w:sz w:val="20"/>
        </w:rPr>
      </w:pPr>
      <w:r>
        <w:rPr>
          <w:sz w:val="20"/>
        </w:rPr>
        <w:t>Generalizations</w:t>
      </w:r>
    </w:p>
    <w:p w:rsidR="00732665" w:rsidRDefault="00732665" w:rsidP="00FA2C88">
      <w:pPr>
        <w:rPr>
          <w:sz w:val="20"/>
        </w:rPr>
        <w:sectPr w:rsidR="00732665" w:rsidSect="00732665">
          <w:type w:val="continuous"/>
          <w:pgSz w:w="12240" w:h="15840"/>
          <w:pgMar w:top="1080" w:right="1080" w:bottom="1080" w:left="1080" w:gutter="0"/>
          <w:cols w:num="3"/>
          <w:titlePg/>
        </w:sectPr>
      </w:pPr>
    </w:p>
    <w:p w:rsidR="00FA2C88" w:rsidRPr="00FA2C88" w:rsidRDefault="00FA2C88" w:rsidP="00FA2C88">
      <w:pPr>
        <w:rPr>
          <w:sz w:val="20"/>
        </w:rPr>
      </w:pPr>
    </w:p>
    <w:p w:rsidR="00FA2C88" w:rsidRDefault="00FA2C88" w:rsidP="00FA2C88">
      <w:pPr>
        <w:jc w:val="center"/>
      </w:pPr>
    </w:p>
    <w:sectPr w:rsidR="00FA2C88" w:rsidSect="00732665">
      <w:type w:val="continuous"/>
      <w:pgSz w:w="12240" w:h="15840"/>
      <w:pgMar w:top="1080" w:right="1080" w:bottom="1080" w:left="108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CD1"/>
    <w:multiLevelType w:val="hybridMultilevel"/>
    <w:tmpl w:val="231A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2C88"/>
    <w:rsid w:val="00732665"/>
    <w:rsid w:val="008C3735"/>
    <w:rsid w:val="00FA2C88"/>
  </w:rsids>
  <m:mathPr>
    <m:mathFont m:val="Avenir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E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1328</Characters>
  <Application>Microsoft Macintosh Word</Application>
  <DocSecurity>0</DocSecurity>
  <Lines>11</Lines>
  <Paragraphs>2</Paragraphs>
  <ScaleCrop>false</ScaleCrop>
  <Company>City Schools of Decatur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 Teacher</dc:creator>
  <cp:keywords/>
  <cp:lastModifiedBy>DHS Teacher</cp:lastModifiedBy>
  <cp:revision>2</cp:revision>
  <dcterms:created xsi:type="dcterms:W3CDTF">2017-08-12T19:12:00Z</dcterms:created>
  <dcterms:modified xsi:type="dcterms:W3CDTF">2017-08-12T19:34:00Z</dcterms:modified>
</cp:coreProperties>
</file>